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巴厘岛自由行4-6月计划行程单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具体咨询13957576756  85200055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155601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参考航班:杭州→巴厘岛SJ1185(17:10-23:10)
                <w:br/>
                              巴厘岛→杭州SJ1184(09:50-16:05)
                <w:br/>
                五天四晚  5月13/27日   6月10/24日     8280元/人
                <w:br/>
                六天五晚4月5/10/19日  5月3/8/17/22/31日  6月5/14/19日  9180元/人
                <w:br/>
                (以上报价不含印尼落地签35美金、旅游税10美金)
                <w:br/>
                <w:br/>
                特别赠送
                <w:br/>
                ·巴厘岛机场-酒店往返接送
                <w:br/>
                连住4晚
                <w:br/>
                ·赠送咖啡厅双人自助餐晚餐一次
                <w:br/>
                俯瞰努沙杜瓦迷人海岸线|感受原始纯净的洁白沙滩
                <w:br/>
                穆丽雅度假村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详见行程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2024-05-17T18:27:24+08:00</dcterms:created>
  <dcterms:modified xsi:type="dcterms:W3CDTF">2024-05-17T18:27:24+08:00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