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【亲山水】宁波奉化雪窦山峡谷穿越、雪窦寺祈福、溪口老街纯玩一日游行程单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143261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★寻访中国近代史著名的历史人物蒋介石、蒋经国父子的故里!
                <w:br/>
                ★雪窦山内感受自然风光，千丈岩瀑布、蒋家别墅妙高台等独特景观!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人以上成团，如未成团提前三天通知,敬请谅解！集合标志:“快乐之旅”导游旗。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奉化溪口（车程时间约2小时），抵达后游览中国近代史著名的历史人物蒋介石、蒋经国父子的故里——奉化溪口镇，抵达后自由逛【溪口老街】（游览时间不少于40分钟），中餐可自费品尝当地的特色美食。后赴旅游集散中心乘坐景交（景交挂牌30元/人，小火车+观光缆车挂牌50元/人，景交缆车费用合计80元/人自理），游览国家AAAAA级旅游区【雪窦山景区】（游览时间不少于3.5小时左右）：参观风景秀丽的三隐潭，三隐潭分为上、中、下三潭，由一条涧水形成的三级瀑布，又叫龙潭，全长 1600 多米。参观完后乘坐小火车和观光缆车至达蒋宋避暑胜地——【妙高台】、浙东第一瀑——【千丈岩】、张学良第一幽禁地，游弥勒道场——【雪窦寺】大慈佛国拜未来佛，坐落于"秀甲四明"的雪窦山山心，为“五大佛教名山”之一，是弥勒佛的道场，内有雪窦山弥勒大佛。下午适时返回各集散地，结束行程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1)交通：空调旅游车（一人一座，根据实际报名人数决定所用车辆类型）
                <w:br/>
                　　　　　　2)门票：以上所列景点门票（景区为联票，一旦购票不得退票）
                <w:br/>
                　　　　　　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景交+小火车+缆车费用合计80元（报名时一起收取）、旅游意外险及个人消费、餐费等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儿童安排：1）包含车位、导游服务，其余费用自理；
                <w:br/>
                             2）儿童门票（仅供参考）：1.2以下门票和景交免费，小火车、索道半价25元，1.2以上价格同成人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报名咨询：85200055，13867545591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2024-04-29T20:07:07+08:00</dcterms:created>
  <dcterms:modified xsi:type="dcterms:W3CDTF">2024-04-29T20:07:07+08:00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